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/>
        <w:autoSpaceDN/>
        <w:snapToGrid/>
        <w:spacing w:before="0" w:after="0" w:line="240" w:lineRule="auto"/>
        <w:ind w:left="0" w:firstLine="0"/>
        <w:jc w:val="left"/>
        <w:rPr>
          <w:rFonts w:hint="eastAsia" w:ascii="Calibri" w:hAnsi="Calibri" w:eastAsia="宋体"/>
          <w:w w:val="100"/>
          <w:sz w:val="21"/>
          <w:lang w:eastAsia="zh-CN"/>
        </w:rPr>
      </w:pPr>
      <w:r>
        <w:rPr>
          <w:rFonts w:ascii="Calibri" w:hAnsi="Calibri" w:eastAsia="宋体"/>
          <w:w w:val="100"/>
          <w:sz w:val="21"/>
        </w:rPr>
        <w:pict>
          <v:shape id="_x0000_s1026" o:spid="_x0000_s1026" o:spt="136" type="#_x0000_t136" style="position:absolute;left:0pt;margin-left:379pt;margin-top:34.15pt;height:21.7pt;width:112.95pt;z-index:251659264;mso-width-relative:page;mso-height-relative:page;" fillcolor="#000000" filled="t" stroked="t" coordsize="21600,21600" adj="10800">
            <v:path/>
            <v:fill on="t" color2="#FFFFFF" focussize="0,0"/>
            <v:stroke joinstyle="round"/>
            <v:imagedata o:title=""/>
            <o:lock v:ext="edit" aspectratio="f"/>
            <v:textpath on="t" fitshape="t" fitpath="t" trim="f" xscale="f" string="高等学历继续教育" style="font-family:宋体;font-size:18pt;font-weight:bold;v-text-align:center;"/>
            <v:textbox inset="0mm,0mm,0mm,0mm"/>
          </v:shape>
        </w:pict>
      </w:r>
      <w:r>
        <w:rPr>
          <w:rFonts w:hint="eastAsia" w:ascii="Calibri" w:hAnsi="Calibri" w:eastAsia="宋体"/>
          <w:w w:val="100"/>
          <w:sz w:val="21"/>
          <w:lang w:eastAsia="zh-CN"/>
        </w:rPr>
        <w:drawing>
          <wp:inline distT="0" distB="0" distL="114300" distR="114300">
            <wp:extent cx="4671060" cy="845820"/>
            <wp:effectExtent l="0" t="0" r="15240" b="1143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106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/>
        <w:autoSpaceDN/>
        <w:snapToGrid/>
        <w:spacing w:before="0" w:after="0" w:line="240" w:lineRule="auto"/>
        <w:ind w:left="480" w:firstLine="480"/>
        <w:jc w:val="both"/>
        <w:rPr>
          <w:rFonts w:hint="eastAsia" w:ascii="Calibri" w:hAnsi="Calibri" w:eastAsia="宋体"/>
          <w:w w:val="100"/>
          <w:sz w:val="24"/>
          <w:lang w:eastAsia="zh-CN"/>
        </w:rPr>
      </w:pPr>
    </w:p>
    <w:p>
      <w:pPr>
        <w:autoSpaceDE/>
        <w:autoSpaceDN/>
        <w:snapToGrid/>
        <w:spacing w:before="0" w:after="0" w:line="240" w:lineRule="auto"/>
        <w:ind w:left="420" w:firstLine="420"/>
        <w:jc w:val="both"/>
        <w:rPr>
          <w:rFonts w:ascii="Calibri" w:hAnsi="Calibri" w:eastAsia="宋体"/>
          <w:w w:val="100"/>
          <w:sz w:val="21"/>
        </w:rPr>
      </w:pPr>
      <w:r>
        <w:rPr>
          <w:rFonts w:ascii="Calibri" w:hAnsi="Calibri" w:eastAsia="宋体"/>
          <w:w w:val="100"/>
          <w:sz w:val="21"/>
        </w:rPr>
        <w:t>四川师范大学是四川省人民政府举办的全日制综合性省属重点大学，是四川省举办师范类本科专业最早、师范类院校中办学历史最为悠久的大学。历经</w:t>
      </w:r>
      <w:r>
        <w:rPr>
          <w:rFonts w:hint="eastAsia" w:ascii="Calibri" w:hAnsi="Calibri" w:eastAsia="宋体"/>
          <w:w w:val="100"/>
          <w:sz w:val="21"/>
          <w:lang w:eastAsia="zh-CN"/>
        </w:rPr>
        <w:t>七</w:t>
      </w:r>
      <w:r>
        <w:rPr>
          <w:rFonts w:ascii="Calibri" w:hAnsi="Calibri" w:eastAsia="宋体"/>
          <w:w w:val="100"/>
          <w:sz w:val="21"/>
        </w:rPr>
        <w:t>十多年的建设，学校已发展成为一所覆盖文学、理学、工学、哲学、经济学、管理学、法学、历史学、教育学，艺术学、农学等十一个学科门类的综合型师范大学。</w:t>
      </w:r>
    </w:p>
    <w:p>
      <w:pPr>
        <w:autoSpaceDE/>
        <w:autoSpaceDN/>
        <w:snapToGrid/>
        <w:spacing w:before="0" w:after="0" w:line="240" w:lineRule="auto"/>
        <w:ind w:left="420" w:firstLine="420"/>
        <w:jc w:val="both"/>
        <w:rPr>
          <w:rFonts w:ascii="Calibri" w:hAnsi="Calibri" w:eastAsia="宋体"/>
          <w:w w:val="100"/>
          <w:sz w:val="21"/>
        </w:rPr>
      </w:pPr>
      <w:r>
        <w:rPr>
          <w:rFonts w:ascii="Calibri" w:hAnsi="Calibri" w:eastAsia="宋体"/>
          <w:w w:val="100"/>
          <w:sz w:val="21"/>
        </w:rPr>
        <w:t>学校现有2个国家级基地，27个学院，85个本科专业。1979年被批准为全国首批硕士学位授权单位，2006年被批准为博士学位授权单位，现有中国语言文学和教育学2个博士学位授权一级学科和基础数学等22个博士学位授权点，中国语言文学和教育学2个博士后流动站，21个硕士学位授权一级学科，114个硕士学位授权点，同时还拥有教育、艺术、体育、汉语国际教育、工商管理、旅游管理、翻译、法律、应用心理、公共管理、工程（计算机技术、电子与通信工程、安全工程领域）等11个硕士专业学位授权类别。</w:t>
      </w:r>
    </w:p>
    <w:p>
      <w:pPr>
        <w:autoSpaceDE/>
        <w:autoSpaceDN/>
        <w:snapToGrid/>
        <w:spacing w:before="0" w:after="0" w:line="240" w:lineRule="auto"/>
        <w:ind w:left="420" w:firstLine="420"/>
        <w:jc w:val="both"/>
        <w:rPr>
          <w:rFonts w:ascii="微软雅黑" w:hAnsi="微软雅黑" w:eastAsia="微软雅黑"/>
          <w:w w:val="100"/>
          <w:sz w:val="21"/>
        </w:rPr>
      </w:pPr>
      <w:r>
        <w:rPr>
          <w:rFonts w:hint="eastAsia" w:ascii="宋体" w:hAnsi="宋体" w:eastAsia="宋体"/>
          <w:w w:val="100"/>
          <w:sz w:val="21"/>
          <w:lang w:eastAsia="zh-CN"/>
        </w:rPr>
        <w:t>继续教育经过60多年的发展，学校已具有成人教育学科学硕士授权点、成人高等教育本专科、高等教育自学考试本专科和各类职业技能培训、职业资格证书考试培训等教育层次和形式。有4个成人教育学硕士研究方向、49个成教本科专业、73个成教专科专业、27个应用型自考专科专业、34个应用型自考独立段本科专业以及包括国家职业资格证书、行业、协会认证证书在内的五大类数十种职业资格证书培训和考试，形成了硕士教育、本科教育、专科教育和职业培训等多层次、多类型的培养体系。</w:t>
      </w:r>
      <w:r>
        <w:rPr>
          <w:rFonts w:hint="eastAsia" w:ascii="微软雅黑" w:hAnsi="微软雅黑" w:eastAsia="微软雅黑"/>
          <w:w w:val="100"/>
          <w:sz w:val="21"/>
          <w:lang w:eastAsia="zh-CN"/>
        </w:rPr>
        <w:t xml:space="preserve"> </w:t>
      </w:r>
    </w:p>
    <w:p>
      <w:pPr>
        <w:tabs>
          <w:tab w:val="left" w:pos="3960"/>
        </w:tabs>
        <w:autoSpaceDE/>
        <w:autoSpaceDN/>
        <w:snapToGrid/>
        <w:spacing w:before="0" w:after="0" w:line="240" w:lineRule="auto"/>
        <w:ind w:left="0" w:firstLine="0"/>
        <w:jc w:val="center"/>
        <w:rPr>
          <w:rFonts w:hint="eastAsia" w:ascii="Calibri" w:hAnsi="Calibri" w:eastAsia="宋体"/>
          <w:b/>
          <w:color w:val="006600"/>
          <w:w w:val="100"/>
          <w:sz w:val="30"/>
          <w:lang w:eastAsia="zh-CN"/>
        </w:rPr>
      </w:pPr>
      <w:r>
        <w:rPr>
          <w:rFonts w:hint="eastAsia" w:ascii="Calibri" w:hAnsi="Calibri" w:eastAsia="宋体"/>
          <w:b/>
          <w:color w:val="006600"/>
          <w:w w:val="100"/>
          <w:sz w:val="30"/>
          <w:lang w:eastAsia="zh-CN"/>
        </w:rPr>
        <w:t>部分专业设置一览表</w:t>
      </w:r>
    </w:p>
    <w:tbl>
      <w:tblPr>
        <w:tblStyle w:val="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1"/>
        <w:gridCol w:w="1939"/>
        <w:gridCol w:w="1291"/>
        <w:gridCol w:w="1012"/>
        <w:gridCol w:w="855"/>
        <w:gridCol w:w="1566"/>
        <w:gridCol w:w="962"/>
        <w:gridCol w:w="174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E6FFDD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firstLine="0"/>
              <w:jc w:val="center"/>
              <w:rPr>
                <w:rFonts w:ascii="新宋体" w:eastAsia="新宋体"/>
                <w:b w:val="0"/>
                <w:color w:val="000000"/>
                <w:w w:val="100"/>
                <w:sz w:val="20"/>
              </w:rPr>
            </w:pPr>
            <w:r>
              <w:rPr>
                <w:rFonts w:ascii="新宋体" w:eastAsia="新宋体"/>
                <w:b w:val="0"/>
                <w:color w:val="000000"/>
                <w:w w:val="100"/>
                <w:sz w:val="20"/>
              </w:rPr>
              <w:t>层次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E6FFDD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firstLine="0"/>
              <w:jc w:val="center"/>
              <w:rPr>
                <w:rFonts w:ascii="新宋体" w:eastAsia="新宋体"/>
                <w:b w:val="0"/>
                <w:color w:val="000000"/>
                <w:w w:val="100"/>
                <w:sz w:val="20"/>
              </w:rPr>
            </w:pPr>
            <w:r>
              <w:rPr>
                <w:rFonts w:ascii="新宋体" w:eastAsia="新宋体"/>
                <w:b w:val="0"/>
                <w:color w:val="000000"/>
                <w:w w:val="100"/>
                <w:sz w:val="20"/>
              </w:rPr>
              <w:t>专业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E6FFDD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firstLine="0"/>
              <w:jc w:val="center"/>
              <w:rPr>
                <w:rFonts w:ascii="新宋体" w:eastAsia="新宋体"/>
                <w:b w:val="0"/>
                <w:color w:val="000000"/>
                <w:w w:val="100"/>
                <w:sz w:val="20"/>
              </w:rPr>
            </w:pPr>
            <w:r>
              <w:rPr>
                <w:rFonts w:ascii="新宋体" w:eastAsia="新宋体"/>
                <w:b w:val="0"/>
                <w:color w:val="000000"/>
                <w:w w:val="100"/>
                <w:sz w:val="20"/>
              </w:rPr>
              <w:t>学制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E6FFDD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firstLine="0"/>
              <w:jc w:val="center"/>
              <w:rPr>
                <w:rFonts w:ascii="新宋体" w:eastAsia="新宋体"/>
                <w:b w:val="0"/>
                <w:color w:val="000000"/>
                <w:w w:val="100"/>
                <w:sz w:val="20"/>
              </w:rPr>
            </w:pPr>
            <w:r>
              <w:rPr>
                <w:rFonts w:ascii="新宋体" w:eastAsia="新宋体"/>
                <w:b w:val="0"/>
                <w:color w:val="000000"/>
                <w:w w:val="100"/>
                <w:sz w:val="20"/>
              </w:rPr>
              <w:t>考试类别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E6FFDD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firstLine="0"/>
              <w:jc w:val="center"/>
              <w:rPr>
                <w:rFonts w:ascii="新宋体" w:eastAsia="新宋体"/>
                <w:b w:val="0"/>
                <w:color w:val="000000"/>
                <w:w w:val="100"/>
                <w:sz w:val="20"/>
              </w:rPr>
            </w:pPr>
            <w:r>
              <w:rPr>
                <w:rFonts w:ascii="新宋体" w:eastAsia="新宋体"/>
                <w:b w:val="0"/>
                <w:color w:val="000000"/>
                <w:w w:val="100"/>
                <w:sz w:val="20"/>
              </w:rPr>
              <w:t>层次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E6FFDD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firstLine="0"/>
              <w:jc w:val="center"/>
              <w:rPr>
                <w:rFonts w:ascii="新宋体" w:eastAsia="新宋体"/>
                <w:b w:val="0"/>
                <w:color w:val="000000"/>
                <w:w w:val="100"/>
                <w:sz w:val="20"/>
              </w:rPr>
            </w:pPr>
            <w:r>
              <w:rPr>
                <w:rFonts w:ascii="新宋体" w:eastAsia="新宋体"/>
                <w:b w:val="0"/>
                <w:color w:val="000000"/>
                <w:w w:val="100"/>
                <w:sz w:val="20"/>
              </w:rPr>
              <w:t>专业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E6FFDD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firstLine="0"/>
              <w:jc w:val="center"/>
              <w:rPr>
                <w:rFonts w:ascii="新宋体" w:eastAsia="新宋体"/>
                <w:b w:val="0"/>
                <w:color w:val="000000"/>
                <w:w w:val="100"/>
                <w:sz w:val="20"/>
              </w:rPr>
            </w:pPr>
            <w:r>
              <w:rPr>
                <w:rFonts w:ascii="新宋体" w:eastAsia="新宋体"/>
                <w:b w:val="0"/>
                <w:color w:val="000000"/>
                <w:w w:val="100"/>
                <w:sz w:val="20"/>
              </w:rPr>
              <w:t>学制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E6FFDD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firstLine="0"/>
              <w:jc w:val="center"/>
              <w:rPr>
                <w:rFonts w:ascii="新宋体" w:eastAsia="新宋体"/>
                <w:b w:val="0"/>
                <w:color w:val="000000"/>
                <w:w w:val="100"/>
                <w:sz w:val="20"/>
              </w:rPr>
            </w:pPr>
            <w:r>
              <w:rPr>
                <w:rFonts w:ascii="新宋体" w:eastAsia="新宋体"/>
                <w:b w:val="0"/>
                <w:color w:val="000000"/>
                <w:w w:val="100"/>
                <w:sz w:val="20"/>
              </w:rPr>
              <w:t>考试类别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CFCFC" w:fill="FFFFFF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firstLine="0"/>
              <w:jc w:val="center"/>
              <w:rPr>
                <w:rFonts w:ascii="宋体"/>
                <w:color w:val="000000"/>
                <w:w w:val="100"/>
                <w:sz w:val="20"/>
              </w:rPr>
            </w:pPr>
            <w:bookmarkStart w:id="0" w:name="_GoBack" w:colFirst="5" w:colLast="5"/>
            <w:r>
              <w:rPr>
                <w:rFonts w:ascii="宋体"/>
                <w:color w:val="000000"/>
                <w:w w:val="100"/>
                <w:sz w:val="20"/>
              </w:rPr>
              <w:t>专升本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FFFFFF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firstLine="0"/>
              <w:jc w:val="center"/>
              <w:rPr>
                <w:rFonts w:ascii="新宋体" w:eastAsia="新宋体"/>
                <w:color w:val="000000"/>
                <w:w w:val="100"/>
                <w:sz w:val="20"/>
              </w:rPr>
            </w:pPr>
            <w:r>
              <w:rPr>
                <w:rFonts w:ascii="新宋体" w:eastAsia="新宋体"/>
                <w:color w:val="000000"/>
                <w:w w:val="100"/>
                <w:sz w:val="20"/>
              </w:rPr>
              <w:t>汉语言文学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FFFFFF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firstLine="0"/>
              <w:jc w:val="center"/>
              <w:rPr>
                <w:rFonts w:ascii="新宋体" w:eastAsia="新宋体"/>
                <w:color w:val="000000"/>
                <w:w w:val="100"/>
                <w:sz w:val="20"/>
              </w:rPr>
            </w:pPr>
            <w:r>
              <w:rPr>
                <w:rFonts w:ascii="新宋体" w:eastAsia="新宋体"/>
                <w:color w:val="000000"/>
                <w:w w:val="100"/>
                <w:sz w:val="20"/>
              </w:rPr>
              <w:t>2.5年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auto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firstLine="0"/>
              <w:jc w:val="center"/>
              <w:rPr>
                <w:rFonts w:ascii="宋体"/>
                <w:color w:val="000000"/>
                <w:w w:val="100"/>
                <w:sz w:val="20"/>
              </w:rPr>
            </w:pPr>
            <w:r>
              <w:rPr>
                <w:rFonts w:ascii="宋体"/>
                <w:color w:val="000000"/>
                <w:w w:val="100"/>
                <w:sz w:val="20"/>
              </w:rPr>
              <w:t>文史类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auto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firstLine="0"/>
              <w:jc w:val="center"/>
              <w:rPr>
                <w:rFonts w:ascii="宋体"/>
                <w:color w:val="000000"/>
                <w:w w:val="100"/>
                <w:sz w:val="20"/>
              </w:rPr>
            </w:pPr>
            <w:r>
              <w:rPr>
                <w:rFonts w:ascii="宋体"/>
                <w:color w:val="000000"/>
                <w:w w:val="100"/>
                <w:sz w:val="20"/>
              </w:rPr>
              <w:t>专升本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auto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ascii="新宋体" w:eastAsia="新宋体"/>
                <w:color w:val="000000"/>
                <w:w w:val="100"/>
                <w:sz w:val="20"/>
              </w:rPr>
            </w:pPr>
            <w:r>
              <w:rPr>
                <w:rFonts w:ascii="新宋体" w:eastAsia="新宋体"/>
                <w:color w:val="000000"/>
                <w:w w:val="100"/>
                <w:sz w:val="20"/>
              </w:rPr>
              <w:t>学前教育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FFFFFF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ascii="新宋体" w:eastAsia="新宋体"/>
                <w:color w:val="000000"/>
                <w:w w:val="100"/>
                <w:sz w:val="20"/>
              </w:rPr>
            </w:pPr>
            <w:r>
              <w:rPr>
                <w:rFonts w:ascii="新宋体" w:eastAsia="新宋体"/>
                <w:color w:val="000000"/>
                <w:w w:val="100"/>
                <w:sz w:val="20"/>
              </w:rPr>
              <w:t>2.5年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FFFFFF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ascii="宋体"/>
                <w:color w:val="000000"/>
                <w:w w:val="100"/>
                <w:sz w:val="20"/>
              </w:rPr>
            </w:pPr>
            <w:r>
              <w:rPr>
                <w:rFonts w:ascii="宋体"/>
                <w:color w:val="000000"/>
                <w:w w:val="100"/>
                <w:sz w:val="20"/>
              </w:rPr>
              <w:t>教育类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2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FCFCFC" w:fill="FFFFFF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firstLine="0"/>
              <w:jc w:val="center"/>
              <w:rPr>
                <w:rFonts w:ascii="宋体"/>
                <w:color w:val="000000"/>
                <w:w w:val="100"/>
                <w:sz w:val="20"/>
              </w:rPr>
            </w:pP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FFFFFF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firstLine="0"/>
              <w:jc w:val="center"/>
              <w:rPr>
                <w:rFonts w:ascii="新宋体" w:eastAsia="新宋体"/>
                <w:color w:val="000000"/>
                <w:w w:val="100"/>
                <w:sz w:val="20"/>
              </w:rPr>
            </w:pPr>
            <w:r>
              <w:rPr>
                <w:rFonts w:ascii="新宋体" w:eastAsia="新宋体"/>
                <w:color w:val="000000"/>
                <w:w w:val="100"/>
                <w:sz w:val="20"/>
              </w:rPr>
              <w:t>数学与应用数学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FFFFFF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firstLine="0"/>
              <w:jc w:val="center"/>
              <w:rPr>
                <w:rFonts w:ascii="新宋体" w:eastAsia="新宋体"/>
                <w:color w:val="000000"/>
                <w:w w:val="100"/>
                <w:sz w:val="20"/>
              </w:rPr>
            </w:pPr>
            <w:r>
              <w:rPr>
                <w:rFonts w:ascii="新宋体" w:eastAsia="新宋体"/>
                <w:color w:val="000000"/>
                <w:w w:val="100"/>
                <w:sz w:val="20"/>
              </w:rPr>
              <w:t>2.5年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auto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firstLine="0"/>
              <w:jc w:val="center"/>
              <w:rPr>
                <w:rFonts w:ascii="宋体"/>
                <w:color w:val="000000"/>
                <w:w w:val="100"/>
                <w:sz w:val="20"/>
              </w:rPr>
            </w:pPr>
            <w:r>
              <w:rPr>
                <w:rFonts w:ascii="宋体"/>
                <w:color w:val="000000"/>
                <w:w w:val="100"/>
                <w:sz w:val="20"/>
              </w:rPr>
              <w:t>理工类</w:t>
            </w: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auto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firstLine="0"/>
              <w:jc w:val="center"/>
              <w:rPr>
                <w:rFonts w:ascii="宋体"/>
                <w:color w:val="000000"/>
                <w:w w:val="100"/>
                <w:sz w:val="20"/>
              </w:rPr>
            </w:pP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auto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ascii="新宋体" w:eastAsia="新宋体"/>
                <w:color w:val="000000"/>
                <w:w w:val="100"/>
                <w:sz w:val="20"/>
              </w:rPr>
            </w:pPr>
            <w:r>
              <w:rPr>
                <w:rFonts w:ascii="新宋体" w:eastAsia="新宋体"/>
                <w:color w:val="000000"/>
                <w:w w:val="100"/>
                <w:sz w:val="20"/>
              </w:rPr>
              <w:t>小学教育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FFFFFF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ascii="新宋体" w:eastAsia="新宋体"/>
                <w:color w:val="000000"/>
                <w:w w:val="100"/>
                <w:sz w:val="20"/>
              </w:rPr>
            </w:pPr>
            <w:r>
              <w:rPr>
                <w:rFonts w:ascii="新宋体" w:eastAsia="新宋体"/>
                <w:color w:val="000000"/>
                <w:w w:val="100"/>
                <w:sz w:val="20"/>
              </w:rPr>
              <w:t>2.5年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FFFFFF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ascii="宋体"/>
                <w:color w:val="000000"/>
                <w:w w:val="100"/>
                <w:sz w:val="20"/>
              </w:rPr>
            </w:pPr>
            <w:r>
              <w:rPr>
                <w:rFonts w:ascii="宋体"/>
                <w:color w:val="000000"/>
                <w:w w:val="100"/>
                <w:sz w:val="20"/>
              </w:rPr>
              <w:t>教育类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2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FCFCFC" w:fill="FFFFFF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firstLine="0"/>
              <w:jc w:val="center"/>
              <w:rPr>
                <w:rFonts w:ascii="宋体"/>
                <w:color w:val="000000"/>
                <w:w w:val="100"/>
                <w:sz w:val="20"/>
              </w:rPr>
            </w:pP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FFFFFF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ascii="新宋体" w:eastAsia="新宋体"/>
                <w:color w:val="000000"/>
                <w:w w:val="100"/>
                <w:sz w:val="20"/>
              </w:rPr>
            </w:pPr>
            <w:r>
              <w:rPr>
                <w:rFonts w:ascii="新宋体" w:eastAsia="新宋体"/>
                <w:color w:val="000000"/>
                <w:w w:val="100"/>
                <w:sz w:val="20"/>
              </w:rPr>
              <w:t>法学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FFFFFF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ascii="新宋体" w:eastAsia="新宋体"/>
                <w:color w:val="000000"/>
                <w:w w:val="100"/>
                <w:sz w:val="20"/>
              </w:rPr>
            </w:pPr>
            <w:r>
              <w:rPr>
                <w:rFonts w:ascii="新宋体" w:eastAsia="新宋体"/>
                <w:color w:val="000000"/>
                <w:w w:val="100"/>
                <w:sz w:val="20"/>
              </w:rPr>
              <w:t>2.5年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auto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ascii="宋体"/>
                <w:color w:val="000000"/>
                <w:w w:val="100"/>
                <w:sz w:val="20"/>
              </w:rPr>
            </w:pPr>
            <w:r>
              <w:rPr>
                <w:rFonts w:ascii="宋体"/>
                <w:color w:val="000000"/>
                <w:w w:val="100"/>
                <w:sz w:val="20"/>
              </w:rPr>
              <w:t>法学类</w:t>
            </w: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auto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firstLine="0"/>
              <w:jc w:val="center"/>
              <w:rPr>
                <w:rFonts w:ascii="宋体"/>
                <w:color w:val="000000"/>
                <w:w w:val="100"/>
                <w:sz w:val="20"/>
              </w:rPr>
            </w:pP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FFFFFF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ascii="新宋体" w:eastAsia="新宋体"/>
                <w:color w:val="000000"/>
                <w:w w:val="100"/>
                <w:sz w:val="20"/>
              </w:rPr>
            </w:pPr>
            <w:r>
              <w:rPr>
                <w:rFonts w:ascii="新宋体" w:eastAsia="新宋体"/>
                <w:color w:val="000000"/>
                <w:w w:val="100"/>
                <w:sz w:val="20"/>
              </w:rPr>
              <w:t>心理学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FFFFFF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ascii="新宋体" w:eastAsia="新宋体"/>
                <w:color w:val="000000"/>
                <w:w w:val="100"/>
                <w:sz w:val="20"/>
              </w:rPr>
            </w:pPr>
            <w:r>
              <w:rPr>
                <w:rFonts w:ascii="新宋体" w:eastAsia="新宋体"/>
                <w:color w:val="000000"/>
                <w:w w:val="100"/>
                <w:sz w:val="20"/>
              </w:rPr>
              <w:t>2.5年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auto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ascii="宋体"/>
                <w:color w:val="000000"/>
                <w:w w:val="100"/>
                <w:sz w:val="20"/>
              </w:rPr>
            </w:pPr>
            <w:r>
              <w:rPr>
                <w:rFonts w:ascii="宋体"/>
                <w:color w:val="000000"/>
                <w:w w:val="100"/>
                <w:sz w:val="20"/>
              </w:rPr>
              <w:t>经管类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92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FCFCFC" w:fill="FFFFFF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firstLine="0"/>
              <w:jc w:val="center"/>
              <w:rPr>
                <w:rFonts w:ascii="宋体"/>
                <w:color w:val="000000"/>
                <w:w w:val="100"/>
                <w:sz w:val="20"/>
              </w:rPr>
            </w:pP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FFFFFF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ascii="新宋体" w:eastAsia="新宋体"/>
                <w:color w:val="000000"/>
                <w:w w:val="100"/>
                <w:sz w:val="20"/>
              </w:rPr>
            </w:pPr>
            <w:r>
              <w:rPr>
                <w:rFonts w:ascii="新宋体" w:eastAsia="新宋体"/>
                <w:color w:val="000000"/>
                <w:w w:val="100"/>
                <w:sz w:val="20"/>
              </w:rPr>
              <w:t>体育教育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FFFFFF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ascii="新宋体" w:eastAsia="新宋体"/>
                <w:color w:val="000000"/>
                <w:w w:val="100"/>
                <w:sz w:val="20"/>
              </w:rPr>
            </w:pPr>
            <w:r>
              <w:rPr>
                <w:rFonts w:ascii="新宋体" w:eastAsia="新宋体"/>
                <w:color w:val="000000"/>
                <w:w w:val="100"/>
                <w:sz w:val="20"/>
              </w:rPr>
              <w:t>2.5年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auto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ascii="宋体"/>
                <w:color w:val="000000"/>
                <w:w w:val="100"/>
                <w:sz w:val="20"/>
              </w:rPr>
            </w:pPr>
            <w:r>
              <w:rPr>
                <w:rFonts w:ascii="宋体"/>
                <w:color w:val="000000"/>
                <w:w w:val="100"/>
                <w:sz w:val="20"/>
              </w:rPr>
              <w:t>教育类</w:t>
            </w: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auto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firstLine="0"/>
              <w:jc w:val="center"/>
              <w:rPr>
                <w:rFonts w:ascii="宋体"/>
                <w:color w:val="000000"/>
                <w:w w:val="100"/>
                <w:sz w:val="20"/>
              </w:rPr>
            </w:pP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auto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ascii="新宋体" w:eastAsia="新宋体"/>
                <w:color w:val="000000"/>
                <w:w w:val="100"/>
                <w:sz w:val="20"/>
              </w:rPr>
            </w:pPr>
            <w:r>
              <w:rPr>
                <w:rFonts w:ascii="新宋体" w:eastAsia="新宋体"/>
                <w:color w:val="000000"/>
                <w:w w:val="100"/>
                <w:sz w:val="20"/>
              </w:rPr>
              <w:t>财务管理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FFFFFF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ascii="新宋体" w:eastAsia="新宋体"/>
                <w:color w:val="000000"/>
                <w:w w:val="100"/>
                <w:sz w:val="20"/>
              </w:rPr>
            </w:pPr>
            <w:r>
              <w:rPr>
                <w:rFonts w:ascii="新宋体" w:eastAsia="新宋体"/>
                <w:color w:val="000000"/>
                <w:w w:val="100"/>
                <w:sz w:val="20"/>
              </w:rPr>
              <w:t>2.5年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FFFFFF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ascii="宋体"/>
                <w:color w:val="000000"/>
                <w:w w:val="100"/>
                <w:sz w:val="20"/>
              </w:rPr>
            </w:pPr>
            <w:r>
              <w:rPr>
                <w:rFonts w:ascii="宋体"/>
                <w:color w:val="000000"/>
                <w:w w:val="100"/>
                <w:sz w:val="20"/>
              </w:rPr>
              <w:t>经管类</w:t>
            </w:r>
          </w:p>
        </w:tc>
      </w:tr>
      <w:bookmarkEnd w:id="0"/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21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FCFCFC" w:fill="FFFFFF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firstLine="0"/>
              <w:jc w:val="center"/>
              <w:rPr>
                <w:rFonts w:ascii="宋体"/>
                <w:color w:val="000000"/>
                <w:w w:val="100"/>
                <w:sz w:val="20"/>
              </w:rPr>
            </w:pP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FCFCFC" w:fill="FFFFFF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ascii="新宋体" w:eastAsia="新宋体"/>
                <w:color w:val="000000"/>
                <w:w w:val="100"/>
                <w:sz w:val="20"/>
              </w:rPr>
            </w:pPr>
            <w:r>
              <w:rPr>
                <w:rFonts w:ascii="新宋体" w:eastAsia="新宋体"/>
                <w:color w:val="000000"/>
                <w:w w:val="100"/>
                <w:sz w:val="20"/>
              </w:rPr>
              <w:t>教育学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FFFFFF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ascii="新宋体" w:eastAsia="新宋体"/>
                <w:color w:val="000000"/>
                <w:w w:val="100"/>
                <w:sz w:val="20"/>
              </w:rPr>
            </w:pPr>
            <w:r>
              <w:rPr>
                <w:rFonts w:ascii="新宋体" w:eastAsia="新宋体"/>
                <w:color w:val="000000"/>
                <w:w w:val="100"/>
                <w:sz w:val="20"/>
              </w:rPr>
              <w:t>2.5年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auto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ascii="宋体"/>
                <w:color w:val="000000"/>
                <w:w w:val="100"/>
                <w:sz w:val="20"/>
              </w:rPr>
            </w:pPr>
            <w:r>
              <w:rPr>
                <w:rFonts w:ascii="宋体"/>
                <w:color w:val="000000"/>
                <w:w w:val="100"/>
                <w:sz w:val="20"/>
              </w:rPr>
              <w:t>教育类</w:t>
            </w: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auto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firstLine="0"/>
              <w:jc w:val="center"/>
              <w:rPr>
                <w:rFonts w:ascii="宋体"/>
                <w:color w:val="000000"/>
                <w:w w:val="100"/>
                <w:sz w:val="20"/>
              </w:rPr>
            </w:pPr>
          </w:p>
        </w:tc>
        <w:tc>
          <w:tcPr>
            <w:tcW w:w="42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CFCFC" w:fill="FFFFFF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ascii="宋体"/>
                <w:color w:val="000000"/>
                <w:w w:val="100"/>
                <w:sz w:val="20"/>
              </w:rPr>
            </w:pPr>
          </w:p>
        </w:tc>
      </w:tr>
    </w:tbl>
    <w:p>
      <w:pPr>
        <w:autoSpaceDE/>
        <w:autoSpaceDN/>
        <w:snapToGrid/>
        <w:spacing w:before="0" w:after="0" w:line="280" w:lineRule="exact"/>
        <w:ind w:left="0" w:firstLine="0"/>
        <w:jc w:val="both"/>
        <w:rPr>
          <w:rFonts w:hint="eastAsia" w:ascii="Calibri" w:hAnsi="Calibri" w:eastAsia="宋体"/>
          <w:b/>
          <w:w w:val="100"/>
          <w:sz w:val="21"/>
          <w:lang w:eastAsia="zh-CN"/>
        </w:rPr>
      </w:pPr>
    </w:p>
    <w:p>
      <w:pPr>
        <w:autoSpaceDE/>
        <w:autoSpaceDN/>
        <w:snapToGrid/>
        <w:spacing w:before="0" w:after="0" w:line="280" w:lineRule="exact"/>
        <w:ind w:left="1029" w:hanging="1029"/>
        <w:jc w:val="both"/>
        <w:rPr>
          <w:rFonts w:hint="eastAsia" w:ascii="Calibri" w:hAnsi="Calibri" w:eastAsia="宋体"/>
          <w:w w:val="100"/>
          <w:sz w:val="21"/>
          <w:lang w:eastAsia="zh-CN"/>
        </w:rPr>
      </w:pPr>
      <w:r>
        <w:rPr>
          <w:rFonts w:hint="eastAsia" w:ascii="Calibri" w:hAnsi="Calibri" w:eastAsia="宋体"/>
          <w:b/>
          <w:w w:val="100"/>
          <w:sz w:val="21"/>
          <w:lang w:val="en-US" w:eastAsia="zh-CN"/>
        </w:rPr>
        <w:t>学费标准</w:t>
      </w:r>
      <w:r>
        <w:rPr>
          <w:rFonts w:hint="eastAsia" w:ascii="Calibri" w:hAnsi="Calibri" w:eastAsia="宋体"/>
          <w:w w:val="100"/>
          <w:sz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1850元/年，其中数学与应用数学、心理学专业2050元/年。</w:t>
      </w:r>
    </w:p>
    <w:p>
      <w:pPr>
        <w:autoSpaceDE/>
        <w:autoSpaceDN/>
        <w:snapToGrid/>
        <w:spacing w:before="0" w:after="0" w:line="280" w:lineRule="exact"/>
        <w:ind w:left="0" w:firstLine="0"/>
        <w:jc w:val="both"/>
        <w:rPr>
          <w:rFonts w:hint="eastAsia" w:ascii="Calibri" w:hAnsi="Calibri" w:eastAsia="宋体"/>
          <w:w w:val="100"/>
          <w:sz w:val="21"/>
          <w:lang w:eastAsia="zh-CN"/>
        </w:rPr>
      </w:pPr>
      <w:r>
        <w:rPr>
          <w:rFonts w:hint="eastAsia" w:ascii="Calibri" w:hAnsi="Calibri" w:eastAsia="宋体"/>
          <w:b/>
          <w:w w:val="100"/>
          <w:sz w:val="21"/>
          <w:lang w:eastAsia="zh-CN"/>
        </w:rPr>
        <w:t>毕业待遇：</w:t>
      </w:r>
      <w:r>
        <w:rPr>
          <w:rFonts w:hint="eastAsia" w:ascii="Calibri" w:hAnsi="Calibri" w:eastAsia="宋体"/>
          <w:w w:val="100"/>
          <w:sz w:val="21"/>
          <w:lang w:eastAsia="zh-CN"/>
        </w:rPr>
        <w:t>学制结束且成绩合格，颁发教育部电子注册毕业证书，符合条件本科毕业生授予学士学位。</w:t>
      </w:r>
    </w:p>
    <w:p>
      <w:pPr>
        <w:autoSpaceDE/>
        <w:autoSpaceDN/>
        <w:snapToGrid/>
        <w:spacing w:before="0" w:after="0" w:line="280" w:lineRule="exact"/>
        <w:ind w:left="1054" w:hanging="1054"/>
        <w:jc w:val="both"/>
        <w:rPr>
          <w:rFonts w:hint="eastAsia" w:ascii="Calibri" w:hAnsi="Calibri" w:eastAsia="宋体"/>
          <w:w w:val="100"/>
          <w:sz w:val="21"/>
          <w:lang w:eastAsia="zh-CN"/>
        </w:rPr>
      </w:pPr>
      <w:r>
        <w:rPr>
          <w:rFonts w:hint="eastAsia" w:ascii="Calibri" w:hAnsi="Calibri" w:eastAsia="宋体"/>
          <w:b/>
          <w:w w:val="100"/>
          <w:sz w:val="21"/>
          <w:lang w:eastAsia="zh-CN"/>
        </w:rPr>
        <w:t>特别提示</w:t>
      </w:r>
      <w:r>
        <w:rPr>
          <w:rFonts w:hint="eastAsia" w:ascii="Calibri" w:hAnsi="Calibri" w:eastAsia="宋体"/>
          <w:w w:val="100"/>
          <w:sz w:val="21"/>
          <w:lang w:eastAsia="zh-CN"/>
        </w:rPr>
        <w:t>：具体计划、报考时间、考试时间以云南省招生考试院公布为准。</w:t>
      </w:r>
    </w:p>
    <w:p>
      <w:pPr>
        <w:tabs>
          <w:tab w:val="left" w:pos="3960"/>
        </w:tabs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Calibri" w:hAnsi="Calibri" w:eastAsia="宋体"/>
          <w:b/>
          <w:w w:val="100"/>
          <w:sz w:val="21"/>
          <w:lang w:eastAsia="zh-CN"/>
        </w:rPr>
      </w:pPr>
      <w:r>
        <w:rPr>
          <w:rFonts w:hint="eastAsia" w:ascii="Calibri" w:hAnsi="Calibri" w:eastAsia="宋体"/>
          <w:w w:val="100"/>
          <w:sz w:val="21"/>
          <w:lang w:eastAsia="zh-CN"/>
        </w:rPr>
        <w:drawing>
          <wp:inline distT="0" distB="0" distL="114300" distR="114300">
            <wp:extent cx="1960245" cy="1232535"/>
            <wp:effectExtent l="0" t="0" r="1905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60245" cy="123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/>
          <w:w w:val="100"/>
          <w:sz w:val="21"/>
          <w:lang w:eastAsia="zh-CN"/>
        </w:rPr>
        <w:t xml:space="preserve"> </w:t>
      </w:r>
      <w:r>
        <w:rPr>
          <w:rFonts w:ascii="Calibri" w:hAnsi="Calibri" w:eastAsia="宋体"/>
          <w:w w:val="100"/>
          <w:sz w:val="21"/>
        </w:rPr>
        <w:drawing>
          <wp:inline distT="0" distB="0" distL="114300" distR="114300">
            <wp:extent cx="2479040" cy="1266190"/>
            <wp:effectExtent l="0" t="0" r="16510" b="1016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79040" cy="126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/>
          <w:w w:val="100"/>
          <w:sz w:val="21"/>
          <w:lang w:eastAsia="zh-CN"/>
        </w:rPr>
        <w:t xml:space="preserve">  </w:t>
      </w:r>
      <w:r>
        <w:rPr>
          <w:rFonts w:ascii="Calibri" w:hAnsi="Calibri" w:eastAsia="宋体"/>
          <w:w w:val="100"/>
          <w:sz w:val="21"/>
        </w:rPr>
        <w:drawing>
          <wp:inline distT="0" distB="0" distL="114300" distR="114300">
            <wp:extent cx="1941830" cy="1320165"/>
            <wp:effectExtent l="0" t="0" r="1270" b="133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41830" cy="132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/>
          <w:w w:val="100"/>
          <w:sz w:val="21"/>
          <w:lang w:eastAsia="zh-CN"/>
        </w:rPr>
        <w:t xml:space="preserve">  </w:t>
      </w:r>
    </w:p>
    <w:p>
      <w:r>
        <w:br w:type="page"/>
      </w:r>
    </w:p>
    <w:p/>
    <w:p>
      <w:r>
        <w:drawing>
          <wp:inline distT="0" distB="0" distL="114300" distR="114300">
            <wp:extent cx="6433185" cy="909320"/>
            <wp:effectExtent l="0" t="0" r="5715" b="5080"/>
            <wp:docPr id="1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33185" cy="90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/>
        <w:autoSpaceDN/>
        <w:snapToGrid/>
        <w:spacing w:before="0" w:after="0" w:line="240" w:lineRule="auto"/>
        <w:ind w:firstLine="420" w:firstLineChars="200"/>
        <w:jc w:val="both"/>
        <w:rPr>
          <w:rFonts w:ascii="宋体" w:hAnsi="宋体" w:eastAsia="宋体"/>
          <w:color w:val="333333"/>
          <w:w w:val="100"/>
          <w:sz w:val="21"/>
        </w:rPr>
      </w:pPr>
      <w:r>
        <w:rPr>
          <w:rFonts w:ascii="Calibri" w:hAnsi="Calibri" w:eastAsia="宋体"/>
          <w:w w:val="100"/>
          <w:sz w:val="21"/>
        </w:rPr>
        <w:t>云南民族大学是一所培养各民族高级专业人才的综合性大学,是国家民族事务委员会与云南省人民政府共建的省属重点大学。学校坐落于四季如春、风景秀丽的中国昆明，前身是云南民族学院，创建于1951年</w:t>
      </w:r>
      <w:r>
        <w:rPr>
          <w:rFonts w:hint="eastAsia" w:ascii="Calibri" w:hAnsi="Calibri" w:eastAsia="宋体"/>
          <w:w w:val="100"/>
          <w:sz w:val="21"/>
          <w:lang w:eastAsia="zh-CN"/>
        </w:rPr>
        <w:t>。</w:t>
      </w:r>
    </w:p>
    <w:p>
      <w:pPr>
        <w:autoSpaceDE/>
        <w:autoSpaceDN/>
        <w:snapToGrid/>
        <w:spacing w:before="0" w:after="0" w:line="240" w:lineRule="auto"/>
        <w:ind w:firstLine="420" w:firstLineChars="200"/>
        <w:jc w:val="both"/>
        <w:rPr>
          <w:rFonts w:ascii="Calibri" w:hAnsi="Calibri" w:eastAsia="宋体"/>
          <w:w w:val="100"/>
          <w:sz w:val="21"/>
        </w:rPr>
      </w:pPr>
      <w:r>
        <w:rPr>
          <w:rFonts w:ascii="Calibri" w:hAnsi="Calibri" w:eastAsia="宋体"/>
          <w:w w:val="100"/>
          <w:sz w:val="21"/>
        </w:rPr>
        <w:t>经过60多年的建设和发展，学校现已成为一所学科门类齐全、办学特色鲜明的综合性大学。涵盖哲学、经济学、法学、教育学、文学、历史学、理学、工学、管理学、艺术学10个学科门类，形成了以民族学、社会学、历史学、民族语言文学、东南亚南亚语言文化、化学（民族药）、民族艺术为优势特色，文理并重、多学科协调发展的学科与专业格局。拥有2个一级学科博士点、1个联合博士点、12个一级学科硕士点、92个二级学科硕士点，8个专业硕士点和78个本科专业。现有14个省级重点学科和优势特色学科，8个国家特色专业，17个省级特色、重点专业。</w:t>
      </w:r>
    </w:p>
    <w:p>
      <w:pPr>
        <w:autoSpaceDE/>
        <w:autoSpaceDN/>
        <w:snapToGrid/>
        <w:spacing w:before="0" w:after="0" w:line="240" w:lineRule="auto"/>
        <w:ind w:firstLine="420" w:firstLineChars="200"/>
        <w:jc w:val="both"/>
        <w:rPr>
          <w:rFonts w:ascii="Calibri" w:hAnsi="Calibri" w:eastAsia="宋体"/>
          <w:w w:val="100"/>
          <w:sz w:val="21"/>
        </w:rPr>
      </w:pPr>
      <w:r>
        <w:rPr>
          <w:rFonts w:hint="eastAsia" w:ascii="ˎ̥" w:hAnsi="ˎ̥" w:eastAsia="宋体"/>
          <w:w w:val="100"/>
          <w:sz w:val="21"/>
          <w:lang w:eastAsia="zh-CN"/>
        </w:rPr>
        <w:t>继续教育学院现有</w:t>
      </w:r>
      <w:r>
        <w:rPr>
          <w:rFonts w:ascii="Calibri" w:hAnsi="Calibri" w:eastAsia="宋体"/>
          <w:w w:val="100"/>
          <w:sz w:val="21"/>
        </w:rPr>
        <w:t>54</w:t>
      </w:r>
      <w:r>
        <w:rPr>
          <w:rFonts w:hint="eastAsia" w:ascii="ˎ̥" w:hAnsi="ˎ̥" w:eastAsia="宋体"/>
          <w:w w:val="100"/>
          <w:sz w:val="21"/>
          <w:lang w:eastAsia="zh-CN"/>
        </w:rPr>
        <w:t>个本专科专业，涉及</w:t>
      </w:r>
      <w:r>
        <w:rPr>
          <w:rFonts w:ascii="Calibri" w:hAnsi="Calibri" w:eastAsia="宋体"/>
          <w:w w:val="100"/>
          <w:sz w:val="21"/>
        </w:rPr>
        <w:t>7</w:t>
      </w:r>
      <w:r>
        <w:rPr>
          <w:rFonts w:hint="eastAsia" w:ascii="ˎ̥" w:hAnsi="ˎ̥" w:eastAsia="宋体"/>
          <w:w w:val="100"/>
          <w:sz w:val="21"/>
          <w:lang w:eastAsia="zh-CN"/>
        </w:rPr>
        <w:t>个学科门类，即经济学，法学，教育学，文学，理学，管理学，工学，开设约</w:t>
      </w:r>
      <w:r>
        <w:rPr>
          <w:rFonts w:ascii="Calibri" w:hAnsi="Calibri" w:eastAsia="宋体"/>
          <w:w w:val="100"/>
          <w:sz w:val="21"/>
        </w:rPr>
        <w:t>400</w:t>
      </w:r>
      <w:r>
        <w:rPr>
          <w:rFonts w:hint="eastAsia" w:ascii="ˎ̥" w:hAnsi="ˎ̥" w:eastAsia="宋体"/>
          <w:w w:val="100"/>
          <w:sz w:val="21"/>
          <w:lang w:eastAsia="zh-CN"/>
        </w:rPr>
        <w:t>门课程。学院结合云南省边疆民族地区的实际，面向基层、面向边疆民族地区，追求社会效益第一、办学质量第一，抓住机遇，参与竞争，争创民大成教品牌</w:t>
      </w:r>
      <w:r>
        <w:rPr>
          <w:rFonts w:hint="eastAsia" w:ascii="ˎ̥" w:hAnsi="ˎ̥" w:eastAsia="宋体"/>
          <w:w w:val="100"/>
          <w:sz w:val="18"/>
          <w:lang w:eastAsia="zh-CN"/>
        </w:rPr>
        <w:t>。</w:t>
      </w:r>
    </w:p>
    <w:p>
      <w:pPr>
        <w:autoSpaceDE/>
        <w:autoSpaceDN/>
        <w:snapToGrid/>
        <w:spacing w:before="0" w:after="0" w:line="240" w:lineRule="auto"/>
        <w:ind w:left="1446" w:firstLine="482"/>
        <w:jc w:val="center"/>
        <w:rPr>
          <w:rFonts w:hint="eastAsia" w:ascii="Calibri" w:hAnsi="Calibri" w:eastAsia="宋体"/>
          <w:b/>
          <w:color w:val="FF6600"/>
          <w:w w:val="100"/>
          <w:sz w:val="24"/>
          <w:lang w:eastAsia="zh-CN"/>
        </w:rPr>
      </w:pPr>
    </w:p>
    <w:p>
      <w:pPr>
        <w:autoSpaceDE/>
        <w:autoSpaceDN/>
        <w:snapToGrid/>
        <w:spacing w:before="0" w:after="0" w:line="240" w:lineRule="auto"/>
        <w:ind w:left="1446" w:firstLine="2474" w:firstLineChars="1027"/>
        <w:jc w:val="both"/>
        <w:rPr>
          <w:rFonts w:hint="eastAsia" w:ascii="Calibri" w:hAnsi="Calibri" w:eastAsia="宋体"/>
          <w:b/>
          <w:color w:val="FF6600"/>
          <w:w w:val="100"/>
          <w:sz w:val="24"/>
          <w:lang w:eastAsia="zh-CN"/>
        </w:rPr>
      </w:pPr>
      <w:r>
        <w:rPr>
          <w:rFonts w:hint="eastAsia" w:ascii="Calibri" w:hAnsi="Calibri" w:eastAsia="宋体"/>
          <w:b/>
          <w:color w:val="FF6600"/>
          <w:w w:val="100"/>
          <w:sz w:val="24"/>
          <w:lang w:eastAsia="zh-CN"/>
        </w:rPr>
        <w:t>部分专业设置一览表</w:t>
      </w:r>
    </w:p>
    <w:p/>
    <w:tbl>
      <w:tblPr>
        <w:tblStyle w:val="2"/>
        <w:tblW w:w="10801" w:type="dxa"/>
        <w:jc w:val="center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"/>
        <w:gridCol w:w="1318"/>
        <w:gridCol w:w="810"/>
        <w:gridCol w:w="1172"/>
        <w:gridCol w:w="1150"/>
        <w:gridCol w:w="5208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4B08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新宋体" w:hAnsi="新宋体" w:eastAsia="新宋体" w:cs="新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 w:cs="新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层次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4B08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 w:cs="新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4B08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 w:cs="新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学制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4B08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 w:cs="新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考试类别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4B08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 w:cs="新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学习形式</w:t>
            </w:r>
          </w:p>
        </w:tc>
        <w:tc>
          <w:tcPr>
            <w:tcW w:w="5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4B08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 w:cs="新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主要课程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1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CBAD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 起 本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文科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函授</w:t>
            </w:r>
          </w:p>
        </w:tc>
        <w:tc>
          <w:tcPr>
            <w:tcW w:w="5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经济学原理、管理学原理、人力资源管理、市场营销等</w:t>
            </w:r>
          </w:p>
        </w:tc>
      </w:tr>
      <w:tr>
        <w:tblPrEx>
          <w:shd w:val="clear" w:color="auto" w:fill="auto"/>
        </w:tblPrEx>
        <w:trPr>
          <w:trHeight w:val="360" w:hRule="atLeast"/>
          <w:jc w:val="center"/>
        </w:trPr>
        <w:tc>
          <w:tcPr>
            <w:tcW w:w="11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CBAD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汉语言文学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文科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函授</w:t>
            </w:r>
          </w:p>
        </w:tc>
        <w:tc>
          <w:tcPr>
            <w:tcW w:w="5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语言学概论、中国古代文论、西方文论等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1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高 起 专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59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59"/>
                <w:kern w:val="0"/>
                <w:sz w:val="20"/>
                <w:szCs w:val="20"/>
                <w:u w:val="none"/>
                <w:lang w:val="en-US" w:eastAsia="zh-CN" w:bidi="ar"/>
              </w:rPr>
              <w:t>法律事务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文科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函授</w:t>
            </w:r>
          </w:p>
        </w:tc>
        <w:tc>
          <w:tcPr>
            <w:tcW w:w="5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民法学、知识产权法、宪法学、税法等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1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中文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文科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函授</w:t>
            </w:r>
          </w:p>
        </w:tc>
        <w:tc>
          <w:tcPr>
            <w:tcW w:w="5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古代文学、现代文学、中国近代史、教育心理学等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1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59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59"/>
                <w:kern w:val="0"/>
                <w:sz w:val="20"/>
                <w:szCs w:val="20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文科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函授</w:t>
            </w:r>
          </w:p>
        </w:tc>
        <w:tc>
          <w:tcPr>
            <w:tcW w:w="5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0"/>
                <w:szCs w:val="20"/>
                <w:u w:val="none"/>
              </w:rPr>
              <w:t>中国政治制度史、行政法与行政诉讼法、行政决策学</w:t>
            </w: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、领导科学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1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文科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函授</w:t>
            </w:r>
          </w:p>
        </w:tc>
        <w:tc>
          <w:tcPr>
            <w:tcW w:w="5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儿童文学、学前心理学、心理学原理等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1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59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59"/>
                <w:kern w:val="0"/>
                <w:sz w:val="20"/>
                <w:szCs w:val="20"/>
                <w:u w:val="none"/>
                <w:lang w:val="en-US" w:eastAsia="zh-CN" w:bidi="ar"/>
              </w:rPr>
              <w:t>电气自动化技术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理科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函授</w:t>
            </w:r>
          </w:p>
        </w:tc>
        <w:tc>
          <w:tcPr>
            <w:tcW w:w="5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电工电子技术、自动控制技术、供电系统等</w:t>
            </w:r>
          </w:p>
        </w:tc>
      </w:tr>
    </w:tbl>
    <w:p/>
    <w:p>
      <w:pPr>
        <w:autoSpaceDE/>
        <w:autoSpaceDN/>
        <w:snapToGrid/>
        <w:spacing w:before="0" w:after="0" w:line="240" w:lineRule="exact"/>
        <w:ind w:left="0" w:firstLine="0"/>
        <w:jc w:val="both"/>
        <w:rPr>
          <w:rFonts w:hint="eastAsia" w:ascii="Calibri" w:hAnsi="Calibri" w:eastAsia="宋体"/>
          <w:w w:val="100"/>
          <w:sz w:val="21"/>
          <w:lang w:eastAsia="zh-CN"/>
        </w:rPr>
      </w:pPr>
      <w:r>
        <w:rPr>
          <w:rFonts w:hint="eastAsia" w:ascii="Calibri" w:hAnsi="Calibri" w:eastAsia="宋体"/>
          <w:b/>
          <w:w w:val="100"/>
          <w:sz w:val="21"/>
          <w:lang w:eastAsia="zh-CN"/>
        </w:rPr>
        <w:t>学费标准</w:t>
      </w:r>
      <w:r>
        <w:rPr>
          <w:rFonts w:hint="eastAsia" w:ascii="Calibri" w:hAnsi="Calibri" w:eastAsia="宋体"/>
          <w:w w:val="100"/>
          <w:sz w:val="21"/>
          <w:lang w:eastAsia="zh-CN"/>
        </w:rPr>
        <w:t>：按《财政厅、省教育厅发改收费</w:t>
      </w:r>
      <w:r>
        <w:rPr>
          <w:rFonts w:hint="eastAsia" w:ascii="宋体" w:hAnsi="宋体" w:eastAsia="宋体"/>
          <w:w w:val="100"/>
          <w:sz w:val="21"/>
          <w:lang w:eastAsia="zh-CN"/>
        </w:rPr>
        <w:t>[2004]536号》文件规定</w:t>
      </w:r>
      <w:r>
        <w:rPr>
          <w:rFonts w:hint="eastAsia" w:ascii="Calibri" w:hAnsi="Calibri" w:eastAsia="宋体"/>
          <w:w w:val="100"/>
          <w:sz w:val="21"/>
          <w:lang w:eastAsia="zh-CN"/>
        </w:rPr>
        <w:t>执行，函授2000元/年。</w:t>
      </w:r>
    </w:p>
    <w:p>
      <w:pPr>
        <w:autoSpaceDE/>
        <w:autoSpaceDN/>
        <w:snapToGrid/>
        <w:spacing w:before="0" w:after="0" w:line="280" w:lineRule="exact"/>
        <w:ind w:left="0" w:firstLine="0"/>
        <w:jc w:val="both"/>
        <w:rPr>
          <w:rFonts w:hint="eastAsia" w:ascii="Calibri" w:hAnsi="Calibri" w:eastAsia="宋体"/>
          <w:w w:val="100"/>
          <w:sz w:val="21"/>
          <w:lang w:eastAsia="zh-CN"/>
        </w:rPr>
      </w:pPr>
      <w:r>
        <w:rPr>
          <w:rFonts w:hint="eastAsia" w:ascii="Calibri" w:hAnsi="Calibri" w:eastAsia="宋体"/>
          <w:b/>
          <w:w w:val="100"/>
          <w:sz w:val="21"/>
          <w:lang w:eastAsia="zh-CN"/>
        </w:rPr>
        <w:t>毕业待遇：</w:t>
      </w:r>
      <w:r>
        <w:rPr>
          <w:rFonts w:hint="eastAsia" w:ascii="Calibri" w:hAnsi="Calibri" w:eastAsia="宋体"/>
          <w:w w:val="100"/>
          <w:sz w:val="21"/>
          <w:lang w:eastAsia="zh-CN"/>
        </w:rPr>
        <w:t>学制结束且成绩合格，颁发教育部电子注册毕业证书，符合条件本科毕业生授予学士学位。</w:t>
      </w:r>
    </w:p>
    <w:p>
      <w:pPr>
        <w:autoSpaceDE/>
        <w:autoSpaceDN/>
        <w:snapToGrid/>
        <w:spacing w:before="0" w:after="0" w:line="240" w:lineRule="auto"/>
        <w:ind w:left="0" w:firstLine="0"/>
        <w:jc w:val="both"/>
        <w:rPr>
          <w:rFonts w:hint="eastAsia" w:ascii="Calibri" w:hAnsi="Calibri" w:eastAsia="宋体"/>
          <w:w w:val="100"/>
          <w:sz w:val="21"/>
          <w:lang w:eastAsia="zh-CN"/>
        </w:rPr>
      </w:pPr>
      <w:r>
        <w:rPr>
          <w:rFonts w:hint="eastAsia" w:ascii="Calibri" w:hAnsi="Calibri" w:eastAsia="宋体"/>
          <w:b/>
          <w:w w:val="100"/>
          <w:sz w:val="21"/>
          <w:lang w:eastAsia="zh-CN"/>
        </w:rPr>
        <w:t>特别提示</w:t>
      </w:r>
      <w:r>
        <w:rPr>
          <w:rFonts w:hint="eastAsia" w:ascii="Calibri" w:hAnsi="Calibri" w:eastAsia="宋体"/>
          <w:w w:val="100"/>
          <w:sz w:val="21"/>
          <w:lang w:eastAsia="zh-CN"/>
        </w:rPr>
        <w:t>：具体计划、报考时间、考试时间以云南省招生考试院公布为准。</w:t>
      </w:r>
    </w:p>
    <w:p>
      <w:pPr>
        <w:rPr>
          <w:rFonts w:hint="eastAsia" w:ascii="Calibri" w:hAnsi="Calibri" w:eastAsia="宋体"/>
          <w:w w:val="100"/>
          <w:sz w:val="21"/>
          <w:lang w:eastAsia="zh-CN"/>
        </w:rPr>
      </w:pPr>
      <w:r>
        <w:rPr>
          <w:rFonts w:hint="eastAsia" w:ascii="Calibri" w:hAnsi="Calibri" w:eastAsia="宋体"/>
          <w:w w:val="100"/>
          <w:sz w:val="21"/>
          <w:lang w:eastAsia="zh-CN"/>
        </w:rPr>
        <w:drawing>
          <wp:inline distT="0" distB="0" distL="114300" distR="114300">
            <wp:extent cx="2971800" cy="175260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/>
          <w:w w:val="100"/>
          <w:sz w:val="21"/>
          <w:lang w:val="en-US" w:eastAsia="zh-CN"/>
        </w:rPr>
        <w:t xml:space="preserve"> </w:t>
      </w:r>
      <w:r>
        <w:rPr>
          <w:rFonts w:hint="eastAsia" w:ascii="Calibri" w:hAnsi="Calibri" w:eastAsia="宋体"/>
          <w:w w:val="100"/>
          <w:sz w:val="21"/>
          <w:lang w:eastAsia="zh-CN"/>
        </w:rPr>
        <w:drawing>
          <wp:inline distT="0" distB="0" distL="114300" distR="114300">
            <wp:extent cx="3002280" cy="1756410"/>
            <wp:effectExtent l="0" t="0" r="7620" b="1524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02280" cy="175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Calibri" w:hAnsi="Calibri" w:eastAsia="宋体"/>
          <w:w w:val="100"/>
          <w:sz w:val="21"/>
          <w:lang w:eastAsia="zh-CN"/>
        </w:rPr>
      </w:pPr>
      <w:r>
        <w:rPr>
          <w:rFonts w:hint="eastAsia" w:ascii="Calibri" w:hAnsi="Calibri" w:eastAsia="宋体"/>
          <w:w w:val="100"/>
          <w:sz w:val="21"/>
          <w:lang w:eastAsia="zh-CN"/>
        </w:rPr>
        <w:br w:type="page"/>
      </w:r>
    </w:p>
    <w:p>
      <w:pPr>
        <w:widowControl/>
        <w:spacing w:line="340" w:lineRule="exact"/>
        <w:jc w:val="left"/>
        <w:rPr>
          <w:rFonts w:ascii="宋体" w:hAnsi="宋体" w:cs="Arial"/>
          <w:szCs w:val="21"/>
        </w:rPr>
      </w:pPr>
    </w:p>
    <w:p>
      <w:pPr>
        <w:widowControl/>
        <w:spacing w:line="240" w:lineRule="auto"/>
        <w:ind w:firstLine="482"/>
        <w:jc w:val="left"/>
        <w:rPr>
          <w:rFonts w:ascii="宋体" w:hAnsi="宋体" w:cs="Arial"/>
          <w:szCs w:val="21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4757420</wp:posOffset>
            </wp:positionH>
            <wp:positionV relativeFrom="paragraph">
              <wp:posOffset>271780</wp:posOffset>
            </wp:positionV>
            <wp:extent cx="1723390" cy="391795"/>
            <wp:effectExtent l="0" t="0" r="10160" b="8255"/>
            <wp:wrapSquare wrapText="bothSides"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2339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306570" cy="958215"/>
            <wp:effectExtent l="0" t="0" r="17780" b="13335"/>
            <wp:docPr id="10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06570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/>
        <w:jc w:val="center"/>
        <w:textAlignment w:val="auto"/>
        <w:rPr>
          <w:rFonts w:hint="default" w:ascii="宋体" w:hAnsi="宋体" w:cs="Arial" w:eastAsiaTheme="minorEastAsia"/>
          <w:b/>
          <w:bCs/>
          <w:color w:val="9C3B6D"/>
          <w:sz w:val="36"/>
          <w:szCs w:val="36"/>
          <w:lang w:val="en-US" w:eastAsia="zh-CN"/>
        </w:rPr>
      </w:pPr>
      <w:r>
        <w:rPr>
          <w:rFonts w:hint="eastAsia" w:ascii="宋体" w:hAnsi="宋体" w:cs="Arial"/>
          <w:b/>
          <w:bCs/>
          <w:color w:val="9C3B6D"/>
          <w:sz w:val="36"/>
          <w:szCs w:val="36"/>
          <w:lang w:val="en-US" w:eastAsia="zh-CN"/>
        </w:rPr>
        <w:t xml:space="preserve">                                      </w:t>
      </w:r>
    </w:p>
    <w:p>
      <w:pPr>
        <w:widowControl/>
        <w:spacing w:line="340" w:lineRule="exact"/>
        <w:ind w:firstLine="482"/>
        <w:jc w:val="left"/>
        <w:rPr>
          <w:rFonts w:ascii="宋体" w:hAnsi="宋体" w:cs="Arial"/>
          <w:szCs w:val="21"/>
        </w:rPr>
      </w:pPr>
      <w:r>
        <w:rPr>
          <w:rFonts w:ascii="宋体" w:hAnsi="宋体" w:cs="Arial"/>
          <w:szCs w:val="21"/>
        </w:rPr>
        <w:t>云南师范大学是一所历史悠久、传统优良的省属重点师范大学，是云南省人民政府和教育部共建高校、国家中西部基础能力提升工程重点建设的100所高校之一。</w:t>
      </w:r>
      <w:r>
        <w:rPr>
          <w:rFonts w:hint="eastAsia" w:ascii="宋体" w:hAnsi="宋体" w:cs="Arial"/>
          <w:szCs w:val="21"/>
        </w:rPr>
        <w:t>其前身</w:t>
      </w:r>
      <w:r>
        <w:rPr>
          <w:rFonts w:ascii="宋体" w:hAnsi="宋体" w:cs="Arial"/>
          <w:szCs w:val="21"/>
        </w:rPr>
        <w:t>北京大学、清华大学、南开大学组</w:t>
      </w:r>
      <w:r>
        <w:rPr>
          <w:rFonts w:hint="eastAsia" w:ascii="宋体" w:hAnsi="宋体" w:cs="Arial"/>
          <w:szCs w:val="21"/>
        </w:rPr>
        <w:t>建的</w:t>
      </w:r>
      <w:r>
        <w:rPr>
          <w:rFonts w:ascii="宋体" w:hAnsi="宋体" w:cs="Arial"/>
          <w:szCs w:val="21"/>
        </w:rPr>
        <w:t>国立西南联合大学。建校</w:t>
      </w:r>
      <w:r>
        <w:rPr>
          <w:rFonts w:hint="eastAsia" w:ascii="宋体" w:hAnsi="宋体" w:cs="Arial"/>
          <w:szCs w:val="21"/>
        </w:rPr>
        <w:t>以</w:t>
      </w:r>
      <w:r>
        <w:rPr>
          <w:rFonts w:ascii="宋体" w:hAnsi="宋体" w:cs="Arial"/>
          <w:szCs w:val="21"/>
        </w:rPr>
        <w:t>来，已为国家培养各级各类人才20余万人，被誉为“红土高原上的教师摇篮”。</w:t>
      </w:r>
    </w:p>
    <w:p>
      <w:pPr>
        <w:widowControl/>
        <w:spacing w:line="340" w:lineRule="exact"/>
        <w:ind w:firstLine="482"/>
        <w:jc w:val="left"/>
        <w:rPr>
          <w:rFonts w:ascii="宋体" w:hAnsi="宋体" w:cs="Arial"/>
          <w:szCs w:val="21"/>
        </w:rPr>
      </w:pPr>
      <w:r>
        <w:rPr>
          <w:rFonts w:ascii="宋体" w:hAnsi="宋体" w:cs="Arial"/>
          <w:szCs w:val="21"/>
        </w:rPr>
        <w:t>学校下设24个学院，2个独立学院，40余个科研机构。有全日制博士、硕士研究生和本科生30000余人，成人继续教育学生18000余人</w:t>
      </w:r>
      <w:r>
        <w:rPr>
          <w:rFonts w:hint="eastAsia" w:ascii="宋体" w:hAnsi="宋体" w:cs="Arial"/>
          <w:szCs w:val="21"/>
        </w:rPr>
        <w:t>。</w:t>
      </w:r>
      <w:r>
        <w:rPr>
          <w:rFonts w:ascii="宋体" w:hAnsi="宋体" w:cs="Arial"/>
          <w:szCs w:val="21"/>
        </w:rPr>
        <w:t>有文、史、哲、法、教、管、理、工、经济、艺术10大学科门类，形成多学科协调发展的学科与专业格局，在2012年教育部第三轮学科评估中有20个学科排名全国高校前20位，3个学科排名前10位。现有87个本科专业，2个博士后流动站，1个一级学科博士点，7个二级学科博士点，26个一级学科硕士点，130个二级学科硕士点，有教育硕士、工商管理硕士（MBA）等13种专业硕士学位授权点，是全国首批招收和培养汉语国际教育硕士专业学位研究生的24所试点高校之一。</w:t>
      </w:r>
    </w:p>
    <w:p>
      <w:pPr>
        <w:spacing w:line="300" w:lineRule="auto"/>
        <w:ind w:firstLine="723"/>
        <w:jc w:val="center"/>
        <w:rPr>
          <w:b/>
          <w:color w:val="7F007F"/>
          <w:kern w:val="1"/>
          <w:sz w:val="30"/>
          <w:szCs w:val="30"/>
        </w:rPr>
      </w:pPr>
      <w:r>
        <w:rPr>
          <w:b/>
          <w:color w:val="7F007F"/>
          <w:kern w:val="1"/>
          <w:sz w:val="30"/>
          <w:szCs w:val="30"/>
        </w:rPr>
        <w:t>部</w:t>
      </w:r>
      <w:r>
        <w:rPr>
          <w:rFonts w:hint="eastAsia"/>
          <w:b/>
          <w:color w:val="7F007F"/>
          <w:kern w:val="1"/>
          <w:sz w:val="30"/>
          <w:szCs w:val="30"/>
        </w:rPr>
        <w:t>分</w:t>
      </w:r>
      <w:r>
        <w:rPr>
          <w:b/>
          <w:color w:val="7F007F"/>
          <w:kern w:val="1"/>
          <w:sz w:val="30"/>
          <w:szCs w:val="30"/>
        </w:rPr>
        <w:t>专业设置一览表</w:t>
      </w:r>
    </w:p>
    <w:p>
      <w:pPr>
        <w:spacing w:line="280" w:lineRule="exact"/>
        <w:rPr>
          <w:b/>
          <w:bCs/>
          <w:kern w:val="1"/>
        </w:rPr>
      </w:pPr>
    </w:p>
    <w:tbl>
      <w:tblPr>
        <w:tblStyle w:val="2"/>
        <w:tblW w:w="1006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356"/>
        <w:gridCol w:w="858"/>
        <w:gridCol w:w="1133"/>
        <w:gridCol w:w="1267"/>
        <w:gridCol w:w="457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B5F7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层 次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B5F7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 业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B5F7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 制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B5F7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考试类别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B5F7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学习形式</w:t>
            </w:r>
          </w:p>
        </w:tc>
        <w:tc>
          <w:tcPr>
            <w:tcW w:w="4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B5F7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 要 课 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高起本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教育学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5年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文理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函授</w:t>
            </w:r>
          </w:p>
        </w:tc>
        <w:tc>
          <w:tcPr>
            <w:tcW w:w="4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教育概论、教育哲学、教育管理心理学、教育督导等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5年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文理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函授</w:t>
            </w:r>
          </w:p>
        </w:tc>
        <w:tc>
          <w:tcPr>
            <w:tcW w:w="4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学前心理学、心理学原理、学前儿童科学教育、教育原理等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汉语言文学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5年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文科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函授</w:t>
            </w:r>
          </w:p>
        </w:tc>
        <w:tc>
          <w:tcPr>
            <w:tcW w:w="4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现代汉语、古代汉语、古代文学、中国古代文学、写作等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中文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3年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文科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函授</w:t>
            </w:r>
          </w:p>
        </w:tc>
        <w:tc>
          <w:tcPr>
            <w:tcW w:w="4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汉语史、语言学概论、古代现代汉语、文艺理论等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3年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文科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函授</w:t>
            </w:r>
          </w:p>
        </w:tc>
        <w:tc>
          <w:tcPr>
            <w:tcW w:w="4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普通心理学、教育社会学、儿童文学、幼儿心理学等</w:t>
            </w:r>
          </w:p>
        </w:tc>
      </w:tr>
    </w:tbl>
    <w:p>
      <w:pPr>
        <w:spacing w:line="280" w:lineRule="exact"/>
        <w:rPr>
          <w:b/>
          <w:bCs/>
          <w:kern w:val="1"/>
        </w:rPr>
      </w:pPr>
    </w:p>
    <w:p>
      <w:pPr>
        <w:spacing w:line="280" w:lineRule="exact"/>
        <w:rPr>
          <w:b/>
          <w:bCs/>
          <w:kern w:val="1"/>
        </w:rPr>
      </w:pPr>
    </w:p>
    <w:p>
      <w:pPr>
        <w:spacing w:line="280" w:lineRule="exact"/>
        <w:rPr>
          <w:rFonts w:hint="eastAsia"/>
          <w:kern w:val="1"/>
        </w:rPr>
      </w:pPr>
      <w:r>
        <w:rPr>
          <w:b/>
          <w:bCs/>
          <w:kern w:val="1"/>
        </w:rPr>
        <w:t>学费标准</w:t>
      </w:r>
      <w:r>
        <w:rPr>
          <w:kern w:val="1"/>
        </w:rPr>
        <w:t>：按《财政厅、省教育厅发改收费</w:t>
      </w:r>
      <w:r>
        <w:rPr>
          <w:rFonts w:ascii="宋体" w:hAnsi="宋体" w:cs="宋体"/>
          <w:kern w:val="1"/>
        </w:rPr>
        <w:t>[2004]536号》文件规定</w:t>
      </w:r>
      <w:r>
        <w:rPr>
          <w:kern w:val="1"/>
        </w:rPr>
        <w:t>执行，函授2000元/年</w:t>
      </w:r>
      <w:r>
        <w:rPr>
          <w:rFonts w:hint="eastAsia"/>
          <w:kern w:val="1"/>
        </w:rPr>
        <w:t>。</w:t>
      </w:r>
    </w:p>
    <w:p>
      <w:pPr>
        <w:spacing w:line="280" w:lineRule="exact"/>
        <w:rPr>
          <w:rFonts w:hint="eastAsia"/>
          <w:kern w:val="1"/>
        </w:rPr>
      </w:pPr>
      <w:r>
        <w:rPr>
          <w:b/>
          <w:kern w:val="1"/>
        </w:rPr>
        <w:t>毕业待遇：</w:t>
      </w:r>
      <w:r>
        <w:rPr>
          <w:kern w:val="1"/>
        </w:rPr>
        <w:t>学制结束且成绩合格，颁发教育部电子注册毕业证书，符合条件本科毕业生授予学士学位。</w:t>
      </w:r>
    </w:p>
    <w:p>
      <w:pPr>
        <w:spacing w:line="280" w:lineRule="exact"/>
        <w:rPr>
          <w:kern w:val="1"/>
        </w:rPr>
      </w:pPr>
      <w:r>
        <w:rPr>
          <w:b/>
          <w:kern w:val="1"/>
        </w:rPr>
        <w:t>特别提示</w:t>
      </w:r>
      <w:r>
        <w:rPr>
          <w:kern w:val="1"/>
        </w:rPr>
        <w:t>：具体计划、报考时间、考试时间以云南省招生考试院公布为准。</w:t>
      </w:r>
    </w:p>
    <w:p>
      <w:pPr>
        <w:spacing w:line="280" w:lineRule="exact"/>
        <w:rPr>
          <w:kern w:val="1"/>
        </w:rPr>
      </w:pPr>
    </w:p>
    <w:p>
      <w:pPr>
        <w:spacing w:line="280" w:lineRule="exact"/>
        <w:rPr>
          <w:kern w:val="1"/>
        </w:rPr>
      </w:pPr>
      <w:r>
        <w:rPr>
          <w:rFonts w:hint="eastAsia"/>
          <w:kern w:val="1"/>
        </w:rPr>
        <w:t xml:space="preserve"> </w:t>
      </w:r>
    </w:p>
    <w:p>
      <w:pPr>
        <w:rPr>
          <w:rFonts w:hint="default" w:ascii="Calibri" w:hAnsi="Calibri" w:eastAsia="宋体"/>
          <w:w w:val="100"/>
          <w:sz w:val="21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ˎ̥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wYmJhOTk4OThhMWYyNDZmNTc4MDNmZWMyMGYzNmIifQ=="/>
  </w:docVars>
  <w:rsids>
    <w:rsidRoot w:val="00000000"/>
    <w:rsid w:val="09587E42"/>
    <w:rsid w:val="157C2677"/>
    <w:rsid w:val="28150A0B"/>
    <w:rsid w:val="2A3E4CE0"/>
    <w:rsid w:val="3A302557"/>
    <w:rsid w:val="406A7BA5"/>
    <w:rsid w:val="62CE529F"/>
    <w:rsid w:val="6873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新宋体" w:hAnsi="新宋体" w:eastAsia="新宋体" w:cs="新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2622</Words>
  <Characters>2735</Characters>
  <Lines>0</Lines>
  <Paragraphs>0</Paragraphs>
  <TotalTime>3</TotalTime>
  <ScaleCrop>false</ScaleCrop>
  <LinksUpToDate>false</LinksUpToDate>
  <CharactersWithSpaces>2759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2021-07-29T02:19:00Z</dcterms:created>
  <dc:creator>Administrator</dc:creator>
  <cp:lastModifiedBy>水果沙拉</cp:lastModifiedBy>
  <dcterms:modified xsi:type="dcterms:W3CDTF">2022-08-12T09:11:57Z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2A17128A8C59482581A1A98D9418FA80</vt:lpwstr>
  </property>
  <property fmtid="{D5CDD505-2E9C-101B-9397-08002B2CF9AE}" pid="4" name="commondata">
    <vt:lpwstr>eyJoZGlkIjoiZDAwNzkwNjNiMWExMWIwNzc0ZDQyNjI2MjU5YjViMjYifQ==</vt:lpwstr>
  </property>
</Properties>
</file>